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#11</w:t>
      </w:r>
      <w:r>
        <w:rPr>
          <w:rFonts w:hint="eastAsia" w:eastAsia="宋体" w:cs="Arial"/>
          <w:sz w:val="24"/>
          <w:szCs w:val="24"/>
          <w:lang w:val="en-US" w:eastAsia="zh-CN"/>
        </w:rPr>
        <w:t>8</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26384</w:t>
      </w:r>
    </w:p>
    <w:p>
      <w:pPr>
        <w:overflowPunct w:val="0"/>
        <w:autoSpaceDE w:val="0"/>
        <w:jc w:val="both"/>
        <w:textAlignment w:val="baseline"/>
        <w:rPr>
          <w:rFonts w:hint="eastAsia" w:ascii="Arial" w:hAnsi="Arial" w:eastAsia="宋体" w:cs="Arial"/>
          <w:b/>
          <w:bCs/>
          <w:sz w:val="24"/>
          <w:szCs w:val="24"/>
          <w:lang w:val="en-US" w:eastAsia="zh-CN"/>
        </w:rPr>
      </w:pPr>
      <w:r>
        <w:rPr>
          <w:rFonts w:hint="default" w:ascii="Arial" w:hAnsi="Arial" w:eastAsia="Calibri" w:cs="Arial"/>
          <w:b/>
          <w:bCs/>
          <w:sz w:val="24"/>
          <w:szCs w:val="24"/>
        </w:rPr>
        <w:t>14</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18</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Nov 2022</w:t>
      </w:r>
      <w:r>
        <w:rPr>
          <w:rFonts w:hint="eastAsia" w:ascii="Arial" w:hAnsi="Arial" w:eastAsia="宋体" w:cs="Arial"/>
          <w:b/>
          <w:bCs/>
          <w:sz w:val="24"/>
          <w:szCs w:val="24"/>
          <w:lang w:val="en-US" w:eastAsia="zh-CN"/>
        </w:rPr>
        <w:t xml:space="preserve"> </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Toulouse, France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13.3</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default"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3#117bis meeting</w:t>
      </w:r>
      <w:r>
        <w:rPr>
          <w:rFonts w:hint="eastAsia" w:ascii="Times New Roman" w:hAnsi="Times New Roman" w:cs="Times New Roman"/>
          <w:lang w:val="en-US" w:eastAsia="zh-CN"/>
        </w:rPr>
        <w:t xml:space="preserve">, </w:t>
      </w:r>
      <w:r>
        <w:rPr>
          <w:rFonts w:hint="eastAsia" w:cs="Times New Roman"/>
          <w:lang w:val="en-US" w:eastAsia="zh-CN"/>
        </w:rPr>
        <w:t>the potential mobility enhancement for IAB-node together with its served UEs was discussed and the following agreements were reached. In this paper, we will discuss the TAC/RNAC issue and present our point of view.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ind w:left="144" w:hanging="144"/>
              <w:rPr>
                <w:rFonts w:ascii="Calibri" w:hAnsi="Calibri" w:cs="Calibri"/>
                <w:b/>
                <w:color w:val="008000"/>
                <w:sz w:val="18"/>
                <w:szCs w:val="18"/>
              </w:rPr>
            </w:pPr>
            <w:r>
              <w:rPr>
                <w:rFonts w:ascii="Calibri" w:hAnsi="Calibri" w:cs="Calibri"/>
                <w:b/>
                <w:color w:val="008000"/>
                <w:sz w:val="18"/>
                <w:szCs w:val="18"/>
              </w:rPr>
              <w:t>RAN3 to further discuss the following options for TAC/RANAC issue:</w:t>
            </w:r>
          </w:p>
          <w:p>
            <w:pPr>
              <w:widowControl w:val="0"/>
              <w:ind w:left="144" w:hanging="144"/>
              <w:rPr>
                <w:rFonts w:ascii="Calibri" w:hAnsi="Calibri" w:cs="Calibri"/>
                <w:b/>
                <w:color w:val="008000"/>
                <w:sz w:val="18"/>
                <w:szCs w:val="18"/>
              </w:rPr>
            </w:pPr>
            <w:r>
              <w:rPr>
                <w:rFonts w:ascii="Calibri" w:hAnsi="Calibri" w:cs="Calibri"/>
                <w:b/>
                <w:color w:val="008000"/>
                <w:sz w:val="18"/>
                <w:szCs w:val="18"/>
              </w:rPr>
              <w:t>-</w:t>
            </w:r>
            <w:r>
              <w:rPr>
                <w:rFonts w:ascii="Calibri" w:hAnsi="Calibri" w:cs="Calibri"/>
                <w:b/>
                <w:color w:val="008000"/>
                <w:sz w:val="18"/>
                <w:szCs w:val="18"/>
              </w:rPr>
              <w:tab/>
            </w:r>
            <w:r>
              <w:rPr>
                <w:rFonts w:ascii="Calibri" w:hAnsi="Calibri" w:cs="Calibri"/>
                <w:b/>
                <w:color w:val="008000"/>
                <w:sz w:val="18"/>
                <w:szCs w:val="18"/>
              </w:rPr>
              <w:t xml:space="preserve">Option 1: The TAC/RANAC for the mobile IAB cell can be changed in order to reflect the physical location when the mobile IAB-node moves. </w:t>
            </w:r>
          </w:p>
          <w:p>
            <w:pPr>
              <w:widowControl w:val="0"/>
              <w:ind w:left="144" w:hanging="144"/>
              <w:rPr>
                <w:rFonts w:hint="eastAsia" w:cs="Times New Roman"/>
                <w:vertAlign w:val="baseline"/>
                <w:lang w:val="en-US" w:eastAsia="zh-CN"/>
              </w:rPr>
            </w:pPr>
            <w:r>
              <w:rPr>
                <w:rFonts w:ascii="Calibri" w:hAnsi="Calibri" w:cs="Calibri"/>
                <w:b/>
                <w:color w:val="008000"/>
                <w:sz w:val="18"/>
                <w:szCs w:val="18"/>
              </w:rPr>
              <w:t>-</w:t>
            </w:r>
            <w:r>
              <w:rPr>
                <w:rFonts w:ascii="Calibri" w:hAnsi="Calibri" w:cs="Calibri"/>
                <w:b/>
                <w:color w:val="008000"/>
                <w:sz w:val="18"/>
                <w:szCs w:val="18"/>
              </w:rPr>
              <w:tab/>
            </w:r>
            <w:r>
              <w:rPr>
                <w:rFonts w:ascii="Calibri" w:hAnsi="Calibri" w:cs="Calibri"/>
                <w:b/>
                <w:color w:val="008000"/>
                <w:sz w:val="18"/>
                <w:szCs w:val="18"/>
              </w:rPr>
              <w:t>Option 2: Using static TAC/RANAC for mobile IAB when it moves. Involvement of SA2 may be needed</w:t>
            </w:r>
          </w:p>
        </w:tc>
      </w:tr>
    </w:tbl>
    <w:p>
      <w:pPr>
        <w:pStyle w:val="2"/>
        <w:jc w:val="both"/>
        <w:rPr>
          <w:rFonts w:hint="default" w:ascii="Times New Roman" w:hAnsi="Times New Roman" w:eastAsia="宋体" w:cs="Times New Roman"/>
          <w:i w:val="0"/>
          <w:iCs w:val="0"/>
          <w:color w:val="auto"/>
          <w:sz w:val="20"/>
          <w:szCs w:val="20"/>
          <w:lang w:val="en-US" w:eastAsia="zh-CN"/>
        </w:rPr>
      </w:pPr>
      <w:r>
        <w:rPr>
          <w:rFonts w:hint="eastAsia" w:eastAsia="宋体"/>
          <w:lang w:eastAsia="zh-CN"/>
        </w:rPr>
        <w:t>Discussion</w:t>
      </w:r>
      <w:r>
        <w:rPr>
          <w:rFonts w:hint="eastAsia"/>
          <w:b/>
          <w:bCs/>
          <w:highlight w:val="none"/>
          <w:lang w:val="en-US" w:eastAsia="zh-CN"/>
        </w:rPr>
        <w:t xml:space="preserve"> </w:t>
      </w:r>
    </w:p>
    <w:p>
      <w:pPr>
        <w:pStyle w:val="3"/>
        <w:bidi w:val="0"/>
        <w:rPr>
          <w:lang w:eastAsia="zh-CN"/>
        </w:rPr>
      </w:pPr>
      <w:r>
        <w:rPr>
          <w:rFonts w:hint="eastAsia"/>
          <w:lang w:val="en-US" w:eastAsia="zh-CN"/>
        </w:rPr>
        <w:t>TA configuration</w:t>
      </w:r>
    </w:p>
    <w:p>
      <w:pPr>
        <w:overflowPunct w:val="0"/>
        <w:autoSpaceDE w:val="0"/>
        <w:autoSpaceDN w:val="0"/>
        <w:adjustRightInd w:val="0"/>
        <w:spacing w:before="156" w:beforeLines="50"/>
        <w:jc w:val="both"/>
        <w:rPr>
          <w:rFonts w:hint="default"/>
          <w:lang w:val="en-US" w:eastAsia="zh-CN"/>
        </w:rPr>
      </w:pPr>
      <w:r>
        <w:rPr>
          <w:rFonts w:hint="eastAsia"/>
          <w:lang w:val="en-US" w:eastAsia="zh-CN"/>
        </w:rPr>
        <w:t>According to the progress of last RAN2#119bis meeting, RAN2 is still discussing if the mobile IAB-node</w:t>
      </w:r>
      <w:r>
        <w:rPr>
          <w:rFonts w:hint="default"/>
          <w:lang w:val="en-US" w:eastAsia="zh-CN"/>
        </w:rPr>
        <w:t>’</w:t>
      </w:r>
      <w:r>
        <w:rPr>
          <w:rFonts w:hint="eastAsia"/>
          <w:lang w:val="en-US" w:eastAsia="zh-CN"/>
        </w:rPr>
        <w:t>s TAC broadcast needs to change when the IAB-node is moving. On the other hand, SA2 has reached interim conclusion on this issue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56" w:beforeLines="50"/>
              <w:jc w:val="both"/>
              <w:rPr>
                <w:rFonts w:hint="eastAsia"/>
                <w:vertAlign w:val="baseline"/>
                <w:lang w:val="en-US" w:eastAsia="zh-CN"/>
              </w:rPr>
            </w:pPr>
            <w:r>
              <w:rPr>
                <w:rFonts w:hint="eastAsia"/>
                <w:vertAlign w:val="baseline"/>
                <w:lang w:val="en-US" w:eastAsia="zh-CN"/>
              </w:rPr>
              <w:t>TR 23.700-05</w:t>
            </w:r>
          </w:p>
          <w:p>
            <w:pPr>
              <w:pStyle w:val="116"/>
              <w:rPr>
                <w:highlight w:val="none"/>
              </w:rPr>
            </w:pPr>
            <w:r>
              <w:rPr>
                <w:highlight w:val="none"/>
              </w:rPr>
              <w:t>-</w:t>
            </w:r>
            <w:r>
              <w:rPr>
                <w:highlight w:val="none"/>
              </w:rPr>
              <w:tab/>
            </w:r>
            <w:r>
              <w:rPr>
                <w:highlight w:val="none"/>
              </w:rPr>
              <w:t>During MBSR’s mobility, the TAC broadcasted by the MBSR is the same as the TAC of the cell where the IAB-UE is located.</w:t>
            </w:r>
            <w:r>
              <w:rPr>
                <w:highlight w:val="none"/>
                <w:lang w:eastAsia="zh-CN"/>
              </w:rPr>
              <w:t xml:space="preserve"> When the IAB-UE enters to a new TA, the cell broadcasting information is updated accordingly.</w:t>
            </w:r>
          </w:p>
          <w:p>
            <w:pPr>
              <w:pStyle w:val="116"/>
              <w:rPr>
                <w:highlight w:val="none"/>
              </w:rPr>
            </w:pPr>
            <w:r>
              <w:rPr>
                <w:highlight w:val="none"/>
                <w:lang w:eastAsia="zh-CN"/>
              </w:rPr>
              <w:t>-</w:t>
            </w:r>
            <w:r>
              <w:rPr>
                <w:highlight w:val="none"/>
                <w:lang w:eastAsia="zh-CN"/>
              </w:rPr>
              <w:tab/>
            </w:r>
            <w:r>
              <w:rPr>
                <w:highlight w:val="none"/>
                <w:lang w:eastAsia="zh-CN"/>
              </w:rPr>
              <w:t>The UE’s mobility management is performed using the legacy mechanism as defined in the TS 23.501 [2] and TS 23.502 [5].</w:t>
            </w:r>
            <w:r>
              <w:rPr>
                <w:highlight w:val="none"/>
              </w:rPr>
              <w:t xml:space="preserve"> The UE in CM-Idle shall follow legacy procedure when detecting a TAC which is not in the TA list. </w:t>
            </w:r>
          </w:p>
          <w:p>
            <w:pPr>
              <w:pStyle w:val="73"/>
              <w:rPr>
                <w:rFonts w:hint="default"/>
                <w:vertAlign w:val="baseline"/>
                <w:lang w:val="en-US" w:eastAsia="zh-CN"/>
              </w:rPr>
            </w:pPr>
            <w:r>
              <w:rPr>
                <w:highlight w:val="none"/>
              </w:rPr>
              <w:t>Editor</w:t>
            </w:r>
            <w:r>
              <w:rPr>
                <w:highlight w:val="none"/>
                <w:lang w:val="en-US"/>
              </w:rPr>
              <w:t>'s note: The alternatives assuming MBSR operates with dedicated TAC(s) or TAC from Donor are subject to the feedback of RAN WGs.</w:t>
            </w:r>
          </w:p>
        </w:tc>
      </w:tr>
    </w:tbl>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1: SA2 has reached interim conclusion that the mobile IAB-node</w:t>
      </w:r>
      <w:r>
        <w:rPr>
          <w:rFonts w:hint="default"/>
          <w:b/>
          <w:bCs/>
          <w:lang w:val="en-US" w:eastAsia="zh-CN"/>
        </w:rPr>
        <w:t>’</w:t>
      </w:r>
      <w:r>
        <w:rPr>
          <w:rFonts w:hint="eastAsia"/>
          <w:b/>
          <w:bCs/>
          <w:lang w:val="en-US" w:eastAsia="zh-CN"/>
        </w:rPr>
        <w:t>s TAC broadcast can be updated with the TAC of the cell of parent node. For the alternative such as dedicated TAC or TAC from donor, they are subject to the feedback of RAN WGs.</w:t>
      </w:r>
    </w:p>
    <w:p>
      <w:pPr>
        <w:overflowPunct w:val="0"/>
        <w:autoSpaceDE w:val="0"/>
        <w:autoSpaceDN w:val="0"/>
        <w:adjustRightInd w:val="0"/>
        <w:spacing w:before="156" w:beforeLines="50"/>
        <w:jc w:val="both"/>
        <w:rPr>
          <w:rFonts w:hint="eastAsia" w:eastAsia="等线"/>
          <w:lang w:val="en-US" w:eastAsia="zh-CN"/>
        </w:rPr>
      </w:pPr>
      <w:r>
        <w:rPr>
          <w:rFonts w:hint="eastAsia"/>
          <w:lang w:val="en-US" w:eastAsia="zh-CN"/>
        </w:rPr>
        <w:t xml:space="preserve">As far as we know, the TA handling of moving cells has been discussed in R17 for NR satellite access. According to TS 23.501, </w:t>
      </w:r>
      <w:r>
        <w:t>the NG-RAN may change the TAC values that are broadcast in a cell's system information as the cell moves</w:t>
      </w:r>
      <w:r>
        <w:rPr>
          <w:rFonts w:hint="eastAsia"/>
          <w:lang w:val="en-US" w:eastAsia="zh-CN"/>
        </w:rPr>
        <w:t xml:space="preserve"> </w:t>
      </w:r>
      <w:r>
        <w:t>in order to ensure that each TA is Earth-stationary</w:t>
      </w:r>
      <w:r>
        <w:rPr>
          <w:rFonts w:hint="eastAsia"/>
          <w:lang w:val="en-US" w:eastAsia="zh-CN"/>
        </w:rPr>
        <w:t xml:space="preserve">. Similarly, it is suggested to leverage the </w:t>
      </w:r>
      <w:r>
        <w:rPr>
          <w:rFonts w:hint="eastAsia"/>
          <w:highlight w:val="none"/>
          <w:lang w:val="en-US" w:eastAsia="zh-CN"/>
        </w:rPr>
        <w:t>tracking area handling of NR satellite access for mobile IAB, i.e . change the TAC values</w:t>
      </w:r>
      <w:r>
        <w:rPr>
          <w:rFonts w:hint="eastAsia"/>
          <w:b w:val="0"/>
          <w:bCs w:val="0"/>
          <w:highlight w:val="none"/>
          <w:lang w:val="en-US" w:eastAsia="zh-CN"/>
        </w:rPr>
        <w:t xml:space="preserve"> </w:t>
      </w:r>
      <w:r>
        <w:rPr>
          <w:b w:val="0"/>
          <w:bCs w:val="0"/>
        </w:rPr>
        <w:t>that are broadcast in a cell's system information as the cell moves</w:t>
      </w:r>
      <w:r>
        <w:rPr>
          <w:rFonts w:hint="eastAsia"/>
          <w:b w:val="0"/>
          <w:bCs w:val="0"/>
          <w:lang w:val="en-US" w:eastAsia="zh-CN"/>
        </w:rPr>
        <w:t xml:space="preserve">. With regard to the TAC value, it can be one of the TAC values broadcast the by parent cell or it can be assigned by the donor CU. </w:t>
      </w:r>
      <w:r>
        <w:rPr>
          <w:rFonts w:hint="eastAsia"/>
          <w:highlight w:val="none"/>
          <w:lang w:val="en-US" w:eastAsia="zh-CN"/>
        </w:rPr>
        <w:t>On the other hand, AMF may provide the UEs served by the mobile IAB-DU</w:t>
      </w:r>
      <w:r>
        <w:rPr>
          <w:rFonts w:hint="default"/>
          <w:highlight w:val="none"/>
          <w:lang w:val="en-US" w:eastAsia="zh-CN"/>
        </w:rPr>
        <w:t>’</w:t>
      </w:r>
      <w:r>
        <w:rPr>
          <w:rFonts w:hint="eastAsia"/>
          <w:highlight w:val="none"/>
          <w:lang w:val="en-US" w:eastAsia="zh-CN"/>
        </w:rPr>
        <w:t xml:space="preserve">s cell with a list TACs, which potentially will be broadcast by the mobile IAB along the movement. In this way, the UEs served by the mobile IAB </w:t>
      </w:r>
      <w:r>
        <w:rPr>
          <w:rFonts w:eastAsia="等线"/>
          <w:lang w:eastAsia="ko-KR"/>
        </w:rPr>
        <w:t xml:space="preserve">do not need to perform mobility registration when the </w:t>
      </w:r>
      <w:r>
        <w:rPr>
          <w:rFonts w:hint="eastAsia" w:eastAsia="等线"/>
          <w:lang w:val="en-US" w:eastAsia="zh-CN"/>
        </w:rPr>
        <w:t>mobile IAB cell</w:t>
      </w:r>
      <w:r>
        <w:rPr>
          <w:rFonts w:eastAsia="等线"/>
          <w:lang w:eastAsia="ko-KR"/>
        </w:rPr>
        <w:t xml:space="preserve"> changes TACs</w:t>
      </w:r>
      <w:r>
        <w:rPr>
          <w:rFonts w:hint="eastAsia" w:eastAsia="等线"/>
          <w:lang w:val="en-US" w:eastAsia="zh-CN"/>
        </w:rPr>
        <w:t xml:space="preserve">. </w:t>
      </w:r>
    </w:p>
    <w:p>
      <w:pPr>
        <w:overflowPunct w:val="0"/>
        <w:autoSpaceDE w:val="0"/>
        <w:autoSpaceDN w:val="0"/>
        <w:adjustRightInd w:val="0"/>
        <w:spacing w:before="156" w:beforeLines="50"/>
        <w:jc w:val="both"/>
        <w:rPr>
          <w:rFonts w:hint="default" w:eastAsia="宋体"/>
          <w:lang w:val="en-US" w:eastAsia="zh-CN"/>
        </w:rPr>
      </w:pPr>
      <w:r>
        <w:rPr>
          <w:rFonts w:hint="eastAsia" w:eastAsia="等线"/>
          <w:lang w:val="en-US" w:eastAsia="zh-CN"/>
        </w:rPr>
        <w:t xml:space="preserve">With regard to the dedicated TAC, it may be detrimental to the user location tracking since the TAC within the reported user location information does not reflect the physical location. Additional specification impact may be introduced. For example, the question raised by SA2 in the LS(R2-2209350) requires the </w:t>
      </w:r>
      <w:r>
        <w:t>IAB-donor gNB to provide an additional ULI (e.g. TAI/NG CGI information) for the MBSR to the AMF of the UE served by the MBSR, over NGAP together with the existing ULI for the UE</w:t>
      </w:r>
      <w:r>
        <w:rPr>
          <w:rFonts w:hint="eastAsia"/>
          <w:lang w:val="en-US" w:eastAsia="zh-CN"/>
        </w:rPr>
        <w:t xml:space="preserve">. </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1: </w:t>
      </w:r>
      <w:r>
        <w:rPr>
          <w:rFonts w:hint="eastAsia"/>
          <w:b/>
          <w:bCs/>
          <w:highlight w:val="none"/>
          <w:lang w:val="en-US" w:eastAsia="zh-CN"/>
        </w:rPr>
        <w:t xml:space="preserve">The TAC values </w:t>
      </w:r>
      <w:r>
        <w:rPr>
          <w:b/>
          <w:bCs/>
        </w:rPr>
        <w:t xml:space="preserve">that are broadcast in a </w:t>
      </w:r>
      <w:r>
        <w:rPr>
          <w:rFonts w:hint="eastAsia"/>
          <w:b/>
          <w:bCs/>
          <w:lang w:val="en-US" w:eastAsia="zh-CN"/>
        </w:rPr>
        <w:t xml:space="preserve">mobile IAB </w:t>
      </w:r>
      <w:r>
        <w:rPr>
          <w:b/>
          <w:bCs/>
        </w:rPr>
        <w:t xml:space="preserve">cell's system information </w:t>
      </w:r>
      <w:r>
        <w:rPr>
          <w:rFonts w:hint="eastAsia"/>
          <w:b/>
          <w:bCs/>
          <w:lang w:val="en-US" w:eastAsia="zh-CN"/>
        </w:rPr>
        <w:t xml:space="preserve">can be updated </w:t>
      </w:r>
      <w:r>
        <w:rPr>
          <w:b/>
          <w:bCs/>
        </w:rPr>
        <w:t xml:space="preserve">as the </w:t>
      </w:r>
      <w:r>
        <w:rPr>
          <w:rFonts w:hint="eastAsia"/>
          <w:b/>
          <w:bCs/>
          <w:lang w:val="en-US" w:eastAsia="zh-CN"/>
        </w:rPr>
        <w:t>mobile IAB</w:t>
      </w:r>
      <w:r>
        <w:rPr>
          <w:b/>
          <w:bCs/>
        </w:rPr>
        <w:t xml:space="preserve"> moves</w:t>
      </w:r>
      <w:r>
        <w:rPr>
          <w:rFonts w:hint="eastAsia"/>
          <w:b/>
          <w:bCs/>
          <w:lang w:val="en-US" w:eastAsia="zh-CN"/>
        </w:rPr>
        <w:t xml:space="preserve">. FFS whether to updated as the TAC value of parent cell or assigned by donor CU.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 xml:space="preserve">Proposal 2: Dedicated TAC is not pursued.  </w:t>
      </w:r>
    </w:p>
    <w:p>
      <w:pPr>
        <w:pStyle w:val="3"/>
        <w:bidi w:val="0"/>
        <w:rPr>
          <w:rFonts w:hint="eastAsia"/>
          <w:lang w:val="en-US" w:eastAsia="zh-CN"/>
        </w:rPr>
      </w:pPr>
      <w:r>
        <w:rPr>
          <w:rFonts w:hint="eastAsia"/>
          <w:lang w:val="en-US" w:eastAsia="zh-CN"/>
        </w:rPr>
        <w:t>RNA configuration</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In addition to TA configuration, the RNA(RAN Notification Area) configuration should be discussed in RAN. For NR system, the UE is allowed to enter RRC_INACTIVE state. Before entering the RRC_INACTIVE state, the UE is configured by the last serving gNB with an RNA. The RNA can cover one or multiple cells, and should be </w:t>
      </w:r>
      <w:r>
        <w:rPr>
          <w:highlight w:val="none"/>
        </w:rPr>
        <w:t xml:space="preserve">a subset of </w:t>
      </w:r>
      <w:r>
        <w:rPr>
          <w:rFonts w:hint="eastAsia"/>
          <w:highlight w:val="none"/>
          <w:lang w:val="en-US" w:eastAsia="zh-CN"/>
        </w:rPr>
        <w:t xml:space="preserve">or equal to </w:t>
      </w:r>
      <w:r>
        <w:rPr>
          <w:highlight w:val="none"/>
        </w:rPr>
        <w:t>a CN Tracking Area</w:t>
      </w:r>
      <w:r>
        <w:rPr>
          <w:rFonts w:hint="eastAsia"/>
          <w:highlight w:val="none"/>
          <w:lang w:val="en-US" w:eastAsia="zh-CN"/>
        </w:rPr>
        <w:t xml:space="preserve">. To be specific, the RNA may be configured via a list of cells or a list of RAN Area Code (RANAC) or TAC. The involved cells will </w:t>
      </w:r>
      <w:r>
        <w:rPr>
          <w:highlight w:val="none"/>
        </w:rPr>
        <w:t xml:space="preserve">broadcast one </w:t>
      </w:r>
      <w:r>
        <w:rPr>
          <w:rFonts w:hint="eastAsia"/>
          <w:highlight w:val="none"/>
          <w:lang w:val="en-US" w:eastAsia="zh-CN"/>
        </w:rPr>
        <w:t>RANAC</w:t>
      </w:r>
      <w:r>
        <w:rPr>
          <w:highlight w:val="none"/>
        </w:rPr>
        <w:t xml:space="preserve"> in the </w:t>
      </w:r>
      <w:r>
        <w:rPr>
          <w:rFonts w:hint="eastAsia"/>
          <w:highlight w:val="none"/>
          <w:lang w:val="en-US" w:eastAsia="zh-CN"/>
        </w:rPr>
        <w:t>SIB1 if the RNA is defined via RANAC</w:t>
      </w:r>
      <w:r>
        <w:rPr>
          <w:highlight w:val="none"/>
        </w:rPr>
        <w:t>.</w:t>
      </w:r>
      <w:r>
        <w:rPr>
          <w:rFonts w:hint="eastAsia"/>
          <w:highlight w:val="none"/>
          <w:lang w:val="en-US" w:eastAsia="zh-CN"/>
        </w:rPr>
        <w:t xml:space="preserve"> UE needs to perform RNAU</w:t>
      </w:r>
      <w:r>
        <w:rPr>
          <w:highlight w:val="none"/>
        </w:rPr>
        <w:t xml:space="preserve"> when the UE </w:t>
      </w:r>
      <w:r>
        <w:rPr>
          <w:rFonts w:hint="eastAsia"/>
          <w:highlight w:val="none"/>
          <w:lang w:val="en-US" w:eastAsia="zh-CN"/>
        </w:rPr>
        <w:t>re-</w:t>
      </w:r>
      <w:r>
        <w:rPr>
          <w:highlight w:val="none"/>
        </w:rPr>
        <w:t xml:space="preserve">selects a cell that does not belong to </w:t>
      </w:r>
      <w:r>
        <w:rPr>
          <w:rFonts w:hint="eastAsia"/>
          <w:highlight w:val="none"/>
          <w:lang w:val="en-US" w:eastAsia="zh-CN"/>
        </w:rPr>
        <w:t>its previously</w:t>
      </w:r>
      <w:r>
        <w:rPr>
          <w:highlight w:val="none"/>
        </w:rPr>
        <w:t xml:space="preserve"> configured RNA.</w:t>
      </w:r>
      <w:r>
        <w:rPr>
          <w:rFonts w:hint="eastAsia"/>
          <w:highlight w:val="none"/>
          <w:lang w:val="en-US" w:eastAsia="zh-CN"/>
        </w:rPr>
        <w:t xml:space="preserve"> </w:t>
      </w:r>
      <w:r>
        <w:rPr>
          <w:rFonts w:hint="eastAsia"/>
          <w:lang w:val="en-US" w:eastAsia="zh-CN"/>
        </w:rPr>
        <w:t xml:space="preserve">When UE performs RNAU, it may initiate the RRC connection resumption procedure toward gNB, </w:t>
      </w:r>
      <w:r>
        <w:rPr>
          <w:rFonts w:eastAsia="MS Mincho"/>
        </w:rPr>
        <w:t>providing the I-RNTI allocated by the last serving gNB and appropriate cause value.</w:t>
      </w:r>
      <w:r>
        <w:rPr>
          <w:rFonts w:hint="eastAsia"/>
          <w:lang w:val="en-US" w:eastAsia="zh-CN"/>
        </w:rPr>
        <w:t xml:space="preserve"> </w:t>
      </w:r>
    </w:p>
    <w:p>
      <w:pPr>
        <w:overflowPunct w:val="0"/>
        <w:autoSpaceDE w:val="0"/>
        <w:autoSpaceDN w:val="0"/>
        <w:adjustRightInd w:val="0"/>
        <w:spacing w:before="156" w:beforeLines="50"/>
        <w:jc w:val="both"/>
        <w:rPr>
          <w:rFonts w:hint="default"/>
          <w:sz w:val="20"/>
          <w:szCs w:val="20"/>
          <w:lang w:val="en-US" w:eastAsia="zh-CN"/>
        </w:rPr>
      </w:pPr>
      <w:r>
        <w:rPr>
          <w:rFonts w:hint="eastAsia" w:ascii="Times New Roman" w:hAnsi="Times New Roman" w:cs="Times New Roman"/>
          <w:sz w:val="20"/>
          <w:szCs w:val="20"/>
          <w:lang w:val="en-US" w:eastAsia="zh-CN"/>
        </w:rPr>
        <w:t xml:space="preserve">With it comes to </w:t>
      </w:r>
      <w:r>
        <w:rPr>
          <w:rFonts w:hint="eastAsia"/>
          <w:sz w:val="20"/>
          <w:szCs w:val="20"/>
          <w:lang w:val="en-US" w:eastAsia="zh-CN"/>
        </w:rPr>
        <w:t>the mobile IAB scenario, the mobile IAB node moves together with the vehicles, which may be across different RNAs. Similar to the TAU, t</w:t>
      </w:r>
      <w:r>
        <w:rPr>
          <w:rFonts w:hint="eastAsia" w:cs="Times New Roman"/>
          <w:sz w:val="20"/>
          <w:szCs w:val="20"/>
          <w:lang w:val="en-US" w:eastAsia="zh-CN"/>
        </w:rPr>
        <w:t xml:space="preserve">he </w:t>
      </w:r>
      <w:r>
        <w:rPr>
          <w:rFonts w:hint="eastAsia"/>
          <w:sz w:val="20"/>
          <w:szCs w:val="20"/>
          <w:lang w:val="en-US" w:eastAsia="zh-CN"/>
        </w:rPr>
        <w:t xml:space="preserve">RNAU in mobile IAB scenario also involves a large group of UEs and should be avoided. Generally speaking, the </w:t>
      </w:r>
      <w:r>
        <w:rPr>
          <w:rFonts w:hint="eastAsia" w:cs="Times New Roman"/>
          <w:sz w:val="20"/>
          <w:szCs w:val="20"/>
          <w:lang w:val="en-US" w:eastAsia="zh-CN"/>
        </w:rPr>
        <w:t xml:space="preserve">following two cases should be considered: </w:t>
      </w:r>
    </w:p>
    <w:p>
      <w:pPr>
        <w:numPr>
          <w:ilvl w:val="0"/>
          <w:numId w:val="13"/>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RNA is configured via RANAC</w:t>
      </w:r>
    </w:p>
    <w:p>
      <w:pPr>
        <w:numPr>
          <w:ilvl w:val="0"/>
          <w:numId w:val="0"/>
        </w:numPr>
        <w:ind w:leftChars="0"/>
        <w:jc w:val="both"/>
        <w:rPr>
          <w:rFonts w:hint="eastAsia"/>
          <w:highlight w:val="none"/>
          <w:lang w:val="en-US" w:eastAsia="zh-CN"/>
        </w:rPr>
      </w:pPr>
      <w:r>
        <w:rPr>
          <w:rFonts w:hint="eastAsia"/>
          <w:highlight w:val="none"/>
          <w:lang w:val="en-US" w:eastAsia="zh-CN"/>
        </w:rPr>
        <w:t xml:space="preserve">When the mobile IAB-node performs HO from source donor to target donor, the mobile IAB-MT may detect that </w:t>
      </w:r>
      <w:r>
        <w:rPr>
          <w:highlight w:val="none"/>
        </w:rPr>
        <w:t xml:space="preserve">the </w:t>
      </w:r>
      <w:r>
        <w:rPr>
          <w:rFonts w:hint="eastAsia"/>
          <w:highlight w:val="none"/>
          <w:lang w:val="en-US" w:eastAsia="zh-CN"/>
        </w:rPr>
        <w:t>RANAC of target donor</w:t>
      </w:r>
      <w:r>
        <w:rPr>
          <w:rFonts w:hint="default"/>
          <w:highlight w:val="none"/>
          <w:lang w:val="en-US" w:eastAsia="zh-CN"/>
        </w:rPr>
        <w:t>’</w:t>
      </w:r>
      <w:r>
        <w:rPr>
          <w:rFonts w:hint="eastAsia"/>
          <w:highlight w:val="none"/>
          <w:lang w:val="en-US" w:eastAsia="zh-CN"/>
        </w:rPr>
        <w:t>s cell is different from the RANAC broadcast by co-located mobile IAB-DU. In order to keep the UE reachability within RAN area, the mobile IAB-DU</w:t>
      </w:r>
      <w:r>
        <w:rPr>
          <w:rFonts w:hint="default"/>
          <w:highlight w:val="none"/>
          <w:lang w:val="en-US" w:eastAsia="zh-CN"/>
        </w:rPr>
        <w:t>’</w:t>
      </w:r>
      <w:r>
        <w:rPr>
          <w:rFonts w:hint="eastAsia"/>
          <w:highlight w:val="none"/>
          <w:lang w:val="en-US" w:eastAsia="zh-CN"/>
        </w:rPr>
        <w:t>s cells may change the RANAC values broadcast in system information to keep align with the cell of parent donor. Alternatively, the target donor CU may send the RANAC configuration to mobile IAB-DU and then mobile IAB-DU</w:t>
      </w:r>
      <w:r>
        <w:rPr>
          <w:rFonts w:hint="default"/>
          <w:highlight w:val="none"/>
          <w:lang w:val="en-US" w:eastAsia="zh-CN"/>
        </w:rPr>
        <w:t>’</w:t>
      </w:r>
      <w:r>
        <w:rPr>
          <w:rFonts w:hint="eastAsia"/>
          <w:highlight w:val="none"/>
          <w:lang w:val="en-US" w:eastAsia="zh-CN"/>
        </w:rPr>
        <w:t xml:space="preserve">s cell broadcast this RANAC value in system information. </w:t>
      </w:r>
    </w:p>
    <w:p>
      <w:pPr>
        <w:numPr>
          <w:ilvl w:val="0"/>
          <w:numId w:val="0"/>
        </w:numPr>
        <w:ind w:leftChars="0"/>
        <w:jc w:val="both"/>
        <w:rPr>
          <w:rFonts w:hint="eastAsia" w:eastAsia="等线"/>
          <w:lang w:val="en-US" w:eastAsia="zh-CN"/>
        </w:rPr>
      </w:pPr>
      <w:r>
        <w:rPr>
          <w:rFonts w:hint="eastAsia" w:cs="Times New Roman"/>
          <w:sz w:val="20"/>
          <w:szCs w:val="20"/>
          <w:lang w:val="en-US" w:eastAsia="zh-CN"/>
        </w:rPr>
        <w:t xml:space="preserve">In order to reduce the RNAU of </w:t>
      </w:r>
      <w:r>
        <w:rPr>
          <w:rFonts w:hint="eastAsia"/>
          <w:sz w:val="20"/>
          <w:szCs w:val="20"/>
          <w:highlight w:val="none"/>
          <w:lang w:val="en-US" w:eastAsia="zh-CN"/>
        </w:rPr>
        <w:t>RRC_INACTIVE UEs served by the mobile IAB-DU</w:t>
      </w:r>
      <w:r>
        <w:rPr>
          <w:rFonts w:hint="default"/>
          <w:sz w:val="20"/>
          <w:szCs w:val="20"/>
          <w:highlight w:val="none"/>
          <w:lang w:val="en-US" w:eastAsia="zh-CN"/>
        </w:rPr>
        <w:t>’</w:t>
      </w:r>
      <w:r>
        <w:rPr>
          <w:rFonts w:hint="eastAsia"/>
          <w:sz w:val="20"/>
          <w:szCs w:val="20"/>
          <w:highlight w:val="none"/>
          <w:lang w:val="en-US" w:eastAsia="zh-CN"/>
        </w:rPr>
        <w:t>s cell</w:t>
      </w:r>
      <w:r>
        <w:rPr>
          <w:rFonts w:hint="eastAsia" w:cs="Times New Roman"/>
          <w:sz w:val="20"/>
          <w:szCs w:val="20"/>
          <w:lang w:val="en-US" w:eastAsia="zh-CN"/>
        </w:rPr>
        <w:t>, it is suggested that the donor CU of mobile IAB node provide U</w:t>
      </w:r>
      <w:r>
        <w:rPr>
          <w:rFonts w:hint="eastAsia"/>
          <w:highlight w:val="none"/>
          <w:lang w:val="en-US" w:eastAsia="zh-CN"/>
        </w:rPr>
        <w:t>Es served by the mobile IAB-DU</w:t>
      </w:r>
      <w:r>
        <w:rPr>
          <w:rFonts w:hint="default"/>
          <w:highlight w:val="none"/>
          <w:lang w:val="en-US" w:eastAsia="zh-CN"/>
        </w:rPr>
        <w:t>’</w:t>
      </w:r>
      <w:r>
        <w:rPr>
          <w:rFonts w:hint="eastAsia"/>
          <w:highlight w:val="none"/>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lang w:eastAsia="ko-KR"/>
        </w:rPr>
        <w:t xml:space="preserve">do not need to perform </w:t>
      </w:r>
      <w:r>
        <w:rPr>
          <w:rFonts w:hint="eastAsia" w:eastAsia="等线"/>
          <w:lang w:val="en-US" w:eastAsia="zh-CN"/>
        </w:rPr>
        <w:t>RNAU whe</w:t>
      </w:r>
      <w:r>
        <w:rPr>
          <w:rFonts w:eastAsia="等线"/>
          <w:lang w:eastAsia="ko-KR"/>
        </w:rPr>
        <w:t xml:space="preserve">n the </w:t>
      </w:r>
      <w:r>
        <w:rPr>
          <w:rFonts w:hint="eastAsia" w:eastAsia="等线"/>
          <w:lang w:val="en-US" w:eastAsia="zh-CN"/>
        </w:rPr>
        <w:t>mobile IAB-DU</w:t>
      </w:r>
      <w:r>
        <w:rPr>
          <w:rFonts w:eastAsia="等线"/>
          <w:lang w:eastAsia="ko-KR"/>
        </w:rPr>
        <w:t xml:space="preserve"> changes </w:t>
      </w:r>
      <w:r>
        <w:rPr>
          <w:rFonts w:hint="eastAsia" w:eastAsia="等线"/>
          <w:lang w:val="en-US" w:eastAsia="zh-CN"/>
        </w:rPr>
        <w:t>RANAC</w:t>
      </w:r>
      <w:r>
        <w:rPr>
          <w:rFonts w:eastAsia="等线"/>
          <w:lang w:eastAsia="ko-KR"/>
        </w:rPr>
        <w:t>s</w:t>
      </w:r>
      <w:r>
        <w:rPr>
          <w:rFonts w:hint="eastAsia" w:eastAsia="等线"/>
          <w:lang w:val="en-US" w:eastAsia="zh-CN"/>
        </w:rPr>
        <w:t xml:space="preserve">.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3: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numPr>
          <w:ilvl w:val="0"/>
          <w:numId w:val="13"/>
        </w:numPr>
        <w:ind w:left="420" w:leftChars="0" w:hanging="420" w:firstLineChars="0"/>
        <w:rPr>
          <w:rFonts w:hint="eastAsia"/>
          <w:sz w:val="20"/>
          <w:szCs w:val="20"/>
          <w:highlight w:val="none"/>
          <w:lang w:val="en-US" w:eastAsia="zh-CN"/>
        </w:rPr>
      </w:pPr>
      <w:r>
        <w:rPr>
          <w:rFonts w:hint="eastAsia" w:cs="Times New Roman"/>
          <w:b/>
          <w:bCs/>
          <w:sz w:val="21"/>
          <w:szCs w:val="21"/>
          <w:highlight w:val="none"/>
          <w:lang w:val="en-US" w:eastAsia="zh-CN"/>
        </w:rPr>
        <w:t xml:space="preserve">RNA is configured via a list of NCGIs </w:t>
      </w:r>
    </w:p>
    <w:p>
      <w:pPr>
        <w:numPr>
          <w:ilvl w:val="0"/>
          <w:numId w:val="0"/>
        </w:numPr>
        <w:ind w:leftChars="0"/>
        <w:jc w:val="both"/>
        <w:rPr>
          <w:rFonts w:hint="eastAsia"/>
          <w:sz w:val="20"/>
          <w:szCs w:val="20"/>
          <w:highlight w:val="none"/>
          <w:lang w:val="en-US" w:eastAsia="zh-CN"/>
        </w:rPr>
      </w:pPr>
      <w:r>
        <w:rPr>
          <w:rFonts w:hint="eastAsia" w:cs="Times New Roman"/>
          <w:sz w:val="20"/>
          <w:szCs w:val="20"/>
          <w:lang w:val="en-US" w:eastAsia="zh-CN"/>
        </w:rPr>
        <w:t>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w:t>
      </w:r>
      <w:r>
        <w:rPr>
          <w:rFonts w:hint="eastAsia"/>
          <w:sz w:val="20"/>
          <w:szCs w:val="20"/>
          <w:highlight w:val="none"/>
          <w:lang w:val="en-US" w:eastAsia="zh-CN"/>
        </w:rPr>
        <w:t xml:space="preserve"> RRC_INACTIVE UE served by the cells of mobile IAB-node-DU replace the old NCGI with the new one in its cell list of RAN area.  </w:t>
      </w:r>
    </w:p>
    <w:p>
      <w:pPr>
        <w:jc w:val="both"/>
        <w:rPr>
          <w:rFonts w:hint="default" w:ascii="Times New Roman" w:hAnsi="Times New Roman" w:cs="Times New Roman"/>
          <w:b/>
          <w:bCs/>
          <w:sz w:val="20"/>
          <w:szCs w:val="20"/>
          <w:lang w:val="en-US"/>
        </w:rPr>
      </w:pPr>
      <w:r>
        <w:rPr>
          <w:rFonts w:hint="eastAsia"/>
          <w:b/>
          <w:bCs/>
          <w:sz w:val="20"/>
          <w:szCs w:val="20"/>
          <w:highlight w:val="none"/>
          <w:lang w:val="en-US" w:eastAsia="zh-CN"/>
        </w:rPr>
        <w:t xml:space="preserve">Proposal 4: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 xml:space="preserve">s cell for the cells included in the RNA configuration. </w:t>
      </w:r>
    </w:p>
    <w:p>
      <w:pPr>
        <w:pStyle w:val="2"/>
        <w:jc w:val="both"/>
        <w:rPr>
          <w:rFonts w:eastAsia="宋体"/>
          <w:highlight w:val="none"/>
          <w:lang w:eastAsia="zh-CN"/>
        </w:rPr>
      </w:pPr>
      <w:r>
        <w:rPr>
          <w:rFonts w:hint="eastAsia" w:eastAsia="宋体"/>
          <w:highlight w:val="none"/>
          <w:lang w:eastAsia="zh-CN"/>
        </w:rPr>
        <w:t>Conclusion</w:t>
      </w:r>
    </w:p>
    <w:p>
      <w:pPr>
        <w:pStyle w:val="7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discussed the remaining issues for mobility enhancement and give our proposals on RAN3 design. The following observations and proposals are given:</w:t>
      </w:r>
    </w:p>
    <w:bookmarkEnd w:id="0"/>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Observation 1: SA2 has reached interim conclusion that the mobile IAB-node</w:t>
      </w:r>
      <w:r>
        <w:rPr>
          <w:rFonts w:hint="default"/>
          <w:b/>
          <w:bCs/>
          <w:lang w:val="en-US" w:eastAsia="zh-CN"/>
        </w:rPr>
        <w:t>’</w:t>
      </w:r>
      <w:r>
        <w:rPr>
          <w:rFonts w:hint="eastAsia"/>
          <w:b/>
          <w:bCs/>
          <w:lang w:val="en-US" w:eastAsia="zh-CN"/>
        </w:rPr>
        <w:t>s TAC broadcast can be updated with the TAC of the cell of parent node. For the alternative such as dedicated TAC or TAC from donor, they are subject to the feedback of RAN WGs.</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1: </w:t>
      </w:r>
      <w:r>
        <w:rPr>
          <w:rFonts w:hint="eastAsia"/>
          <w:b/>
          <w:bCs/>
          <w:highlight w:val="none"/>
          <w:lang w:val="en-US" w:eastAsia="zh-CN"/>
        </w:rPr>
        <w:t xml:space="preserve">The TAC values </w:t>
      </w:r>
      <w:r>
        <w:rPr>
          <w:b/>
          <w:bCs/>
        </w:rPr>
        <w:t xml:space="preserve">that are broadcast in a </w:t>
      </w:r>
      <w:r>
        <w:rPr>
          <w:rFonts w:hint="eastAsia"/>
          <w:b/>
          <w:bCs/>
          <w:lang w:val="en-US" w:eastAsia="zh-CN"/>
        </w:rPr>
        <w:t xml:space="preserve">mobile IAB </w:t>
      </w:r>
      <w:r>
        <w:rPr>
          <w:b/>
          <w:bCs/>
        </w:rPr>
        <w:t xml:space="preserve">cell's system information </w:t>
      </w:r>
      <w:r>
        <w:rPr>
          <w:rFonts w:hint="eastAsia"/>
          <w:b/>
          <w:bCs/>
          <w:lang w:val="en-US" w:eastAsia="zh-CN"/>
        </w:rPr>
        <w:t xml:space="preserve">can be updated </w:t>
      </w:r>
      <w:r>
        <w:rPr>
          <w:b/>
          <w:bCs/>
        </w:rPr>
        <w:t xml:space="preserve">as the </w:t>
      </w:r>
      <w:r>
        <w:rPr>
          <w:rFonts w:hint="eastAsia"/>
          <w:b/>
          <w:bCs/>
          <w:lang w:val="en-US" w:eastAsia="zh-CN"/>
        </w:rPr>
        <w:t>mobile IAB</w:t>
      </w:r>
      <w:r>
        <w:rPr>
          <w:b/>
          <w:bCs/>
        </w:rPr>
        <w:t xml:space="preserve"> moves</w:t>
      </w:r>
      <w:r>
        <w:rPr>
          <w:rFonts w:hint="eastAsia"/>
          <w:b/>
          <w:bCs/>
          <w:lang w:val="en-US" w:eastAsia="zh-CN"/>
        </w:rPr>
        <w:t xml:space="preserve">. FFS whether to updated as the TAC value of parent cell or assigned by donor CU.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 xml:space="preserve">Proposal 2: Dedicated TAC is not pursued.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3: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jc w:val="both"/>
        <w:rPr>
          <w:rFonts w:hint="default" w:ascii="Times New Roman" w:hAnsi="Times New Roman" w:cs="Times New Roman"/>
          <w:b/>
          <w:bCs/>
          <w:sz w:val="20"/>
          <w:szCs w:val="20"/>
          <w:lang w:val="en-US"/>
        </w:rPr>
      </w:pPr>
      <w:r>
        <w:rPr>
          <w:rFonts w:hint="eastAsia"/>
          <w:b/>
          <w:bCs/>
          <w:sz w:val="20"/>
          <w:szCs w:val="20"/>
          <w:highlight w:val="none"/>
          <w:lang w:val="en-US" w:eastAsia="zh-CN"/>
        </w:rPr>
        <w:t xml:space="preserve">Proposal 4: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 xml:space="preserve">s cell for the cells included in the RNA configuration. </w:t>
      </w:r>
    </w:p>
    <w:p>
      <w:pPr>
        <w:pStyle w:val="2"/>
        <w:rPr>
          <w:rFonts w:eastAsia="宋体"/>
          <w:lang w:eastAsia="zh-CN"/>
        </w:rPr>
      </w:pPr>
      <w:r>
        <w:rPr>
          <w:rFonts w:hint="eastAsia" w:eastAsia="宋体"/>
          <w:lang w:eastAsia="zh-CN"/>
        </w:rPr>
        <w:t>Reference</w:t>
      </w:r>
    </w:p>
    <w:p>
      <w:pPr>
        <w:numPr>
          <w:ilvl w:val="0"/>
          <w:numId w:val="14"/>
        </w:numPr>
        <w:rPr>
          <w:rFonts w:hint="default"/>
          <w:b w:val="0"/>
          <w:bCs w:val="0"/>
          <w:lang w:val="en-US" w:eastAsia="zh-CN"/>
        </w:rPr>
      </w:pPr>
      <w:r>
        <w:rPr>
          <w:rFonts w:hint="eastAsia"/>
          <w:b w:val="0"/>
          <w:bCs w:val="0"/>
          <w:lang w:val="en-US" w:eastAsia="zh-CN"/>
        </w:rPr>
        <w:t>RAN3#117bis</w:t>
      </w:r>
      <w:bookmarkStart w:id="1" w:name="_GoBack"/>
      <w:bookmarkEnd w:id="1"/>
      <w:r>
        <w:rPr>
          <w:rFonts w:hint="eastAsia"/>
          <w:b w:val="0"/>
          <w:bCs w:val="0"/>
          <w:lang w:val="en-US" w:eastAsia="zh-CN"/>
        </w:rPr>
        <w:t xml:space="preserve">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Dutch801BT-Roman">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3">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13"/>
  </w:num>
  <w:num w:numId="6">
    <w:abstractNumId w:val="10"/>
  </w:num>
  <w:num w:numId="7">
    <w:abstractNumId w:val="8"/>
  </w:num>
  <w:num w:numId="8">
    <w:abstractNumId w:val="11"/>
  </w:num>
  <w:num w:numId="9">
    <w:abstractNumId w:val="5"/>
  </w:num>
  <w:num w:numId="10">
    <w:abstractNumId w:val="4"/>
  </w:num>
  <w:num w:numId="11">
    <w:abstractNumId w:val="2"/>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3D8D"/>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C72870"/>
    <w:rsid w:val="04D11A7E"/>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B41B0"/>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4729AB"/>
    <w:rsid w:val="096962DD"/>
    <w:rsid w:val="098113B0"/>
    <w:rsid w:val="09A8521A"/>
    <w:rsid w:val="09B55CF9"/>
    <w:rsid w:val="09D531F9"/>
    <w:rsid w:val="09E726AB"/>
    <w:rsid w:val="09EB1DD0"/>
    <w:rsid w:val="0A18474D"/>
    <w:rsid w:val="0A1A2468"/>
    <w:rsid w:val="0A274FDE"/>
    <w:rsid w:val="0A285D2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B324D"/>
    <w:rsid w:val="0CBE103D"/>
    <w:rsid w:val="0CD07B3D"/>
    <w:rsid w:val="0CD72E9F"/>
    <w:rsid w:val="0CE62609"/>
    <w:rsid w:val="0D110D1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C718D0"/>
    <w:rsid w:val="10D1157C"/>
    <w:rsid w:val="10FE147E"/>
    <w:rsid w:val="11060CF2"/>
    <w:rsid w:val="111D305C"/>
    <w:rsid w:val="11205E74"/>
    <w:rsid w:val="11362BB8"/>
    <w:rsid w:val="1161496B"/>
    <w:rsid w:val="117A5F3A"/>
    <w:rsid w:val="11824E11"/>
    <w:rsid w:val="11C318C3"/>
    <w:rsid w:val="11CF7FCC"/>
    <w:rsid w:val="11DC509B"/>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05B0"/>
    <w:rsid w:val="17761CC0"/>
    <w:rsid w:val="17A145BA"/>
    <w:rsid w:val="17B62F19"/>
    <w:rsid w:val="17BD5673"/>
    <w:rsid w:val="17C80AC5"/>
    <w:rsid w:val="17CD150B"/>
    <w:rsid w:val="17E7046A"/>
    <w:rsid w:val="17E71AC4"/>
    <w:rsid w:val="17E83719"/>
    <w:rsid w:val="18242407"/>
    <w:rsid w:val="18392FA6"/>
    <w:rsid w:val="18465218"/>
    <w:rsid w:val="18560E6B"/>
    <w:rsid w:val="186F07E0"/>
    <w:rsid w:val="188359F5"/>
    <w:rsid w:val="18CB5E1F"/>
    <w:rsid w:val="18DF5F9F"/>
    <w:rsid w:val="18EE0A47"/>
    <w:rsid w:val="18F302C8"/>
    <w:rsid w:val="190A78EF"/>
    <w:rsid w:val="19120E5E"/>
    <w:rsid w:val="193D7ACD"/>
    <w:rsid w:val="19592B3E"/>
    <w:rsid w:val="196462FA"/>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E0535F"/>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DE4F8E"/>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BB543F"/>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86FD4"/>
    <w:rsid w:val="238F61B0"/>
    <w:rsid w:val="23B84612"/>
    <w:rsid w:val="23C323AD"/>
    <w:rsid w:val="23C605A0"/>
    <w:rsid w:val="23C6496E"/>
    <w:rsid w:val="23CB2EB7"/>
    <w:rsid w:val="23D15303"/>
    <w:rsid w:val="23F33174"/>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81FC5"/>
    <w:rsid w:val="2A0F4C0F"/>
    <w:rsid w:val="2A1E00C4"/>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F4827"/>
    <w:rsid w:val="2F830060"/>
    <w:rsid w:val="2F8D1523"/>
    <w:rsid w:val="2F983FFB"/>
    <w:rsid w:val="2FAE4E31"/>
    <w:rsid w:val="2FC15D12"/>
    <w:rsid w:val="2FC72DC9"/>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5614D7"/>
    <w:rsid w:val="316745CA"/>
    <w:rsid w:val="316E7DD8"/>
    <w:rsid w:val="31704E96"/>
    <w:rsid w:val="31953D90"/>
    <w:rsid w:val="319C693A"/>
    <w:rsid w:val="31B7641F"/>
    <w:rsid w:val="31CB7D83"/>
    <w:rsid w:val="31D637B7"/>
    <w:rsid w:val="32064957"/>
    <w:rsid w:val="320E5BE8"/>
    <w:rsid w:val="3234537A"/>
    <w:rsid w:val="323D3B2C"/>
    <w:rsid w:val="323F0974"/>
    <w:rsid w:val="3246235C"/>
    <w:rsid w:val="32565C17"/>
    <w:rsid w:val="32610022"/>
    <w:rsid w:val="326654A0"/>
    <w:rsid w:val="326717E4"/>
    <w:rsid w:val="32683711"/>
    <w:rsid w:val="32786ECB"/>
    <w:rsid w:val="3289102F"/>
    <w:rsid w:val="32A12270"/>
    <w:rsid w:val="32AD79D4"/>
    <w:rsid w:val="32AE1ED2"/>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301D0"/>
    <w:rsid w:val="399F6BF2"/>
    <w:rsid w:val="39A22B68"/>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3FE77258"/>
    <w:rsid w:val="400C785D"/>
    <w:rsid w:val="40130EAF"/>
    <w:rsid w:val="40216DA7"/>
    <w:rsid w:val="40237876"/>
    <w:rsid w:val="40274C59"/>
    <w:rsid w:val="403B1C59"/>
    <w:rsid w:val="403C2E31"/>
    <w:rsid w:val="40560022"/>
    <w:rsid w:val="40616B63"/>
    <w:rsid w:val="40646E6B"/>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B906BB"/>
    <w:rsid w:val="43C86844"/>
    <w:rsid w:val="43CA4728"/>
    <w:rsid w:val="43CB3585"/>
    <w:rsid w:val="43D32144"/>
    <w:rsid w:val="43DF5B85"/>
    <w:rsid w:val="440F3E18"/>
    <w:rsid w:val="44114BC2"/>
    <w:rsid w:val="44455FAC"/>
    <w:rsid w:val="4448573B"/>
    <w:rsid w:val="44537B36"/>
    <w:rsid w:val="4455753D"/>
    <w:rsid w:val="44595264"/>
    <w:rsid w:val="4491669D"/>
    <w:rsid w:val="449A545B"/>
    <w:rsid w:val="44C656F4"/>
    <w:rsid w:val="44CF4A8C"/>
    <w:rsid w:val="44E05510"/>
    <w:rsid w:val="44E55506"/>
    <w:rsid w:val="44FD2490"/>
    <w:rsid w:val="44FE780D"/>
    <w:rsid w:val="45013292"/>
    <w:rsid w:val="45136F73"/>
    <w:rsid w:val="451F6997"/>
    <w:rsid w:val="45275D3C"/>
    <w:rsid w:val="45303BF9"/>
    <w:rsid w:val="45431178"/>
    <w:rsid w:val="454D5F23"/>
    <w:rsid w:val="456A18DF"/>
    <w:rsid w:val="45714A94"/>
    <w:rsid w:val="45797DE3"/>
    <w:rsid w:val="457A238E"/>
    <w:rsid w:val="45992E38"/>
    <w:rsid w:val="45A72707"/>
    <w:rsid w:val="45BB3E85"/>
    <w:rsid w:val="45FB33E9"/>
    <w:rsid w:val="4600581C"/>
    <w:rsid w:val="460E5D16"/>
    <w:rsid w:val="4616701D"/>
    <w:rsid w:val="46186D0F"/>
    <w:rsid w:val="461E6866"/>
    <w:rsid w:val="46202F36"/>
    <w:rsid w:val="463A6CEB"/>
    <w:rsid w:val="463D225F"/>
    <w:rsid w:val="46507F2F"/>
    <w:rsid w:val="4661363F"/>
    <w:rsid w:val="46625D50"/>
    <w:rsid w:val="46741BEE"/>
    <w:rsid w:val="46761D02"/>
    <w:rsid w:val="46774958"/>
    <w:rsid w:val="46795991"/>
    <w:rsid w:val="469C7DFF"/>
    <w:rsid w:val="46A40849"/>
    <w:rsid w:val="46A72A98"/>
    <w:rsid w:val="46C1358E"/>
    <w:rsid w:val="46C2390C"/>
    <w:rsid w:val="46CB5241"/>
    <w:rsid w:val="46D21853"/>
    <w:rsid w:val="46E2108D"/>
    <w:rsid w:val="46E96B79"/>
    <w:rsid w:val="46EA0145"/>
    <w:rsid w:val="47022B62"/>
    <w:rsid w:val="471039C2"/>
    <w:rsid w:val="472C799C"/>
    <w:rsid w:val="473A324F"/>
    <w:rsid w:val="4743147C"/>
    <w:rsid w:val="4750010D"/>
    <w:rsid w:val="475B26B3"/>
    <w:rsid w:val="47887982"/>
    <w:rsid w:val="47C36D5A"/>
    <w:rsid w:val="47DE42BD"/>
    <w:rsid w:val="47E224DA"/>
    <w:rsid w:val="480222EC"/>
    <w:rsid w:val="48063B33"/>
    <w:rsid w:val="481A4F49"/>
    <w:rsid w:val="48207BF3"/>
    <w:rsid w:val="485C5F93"/>
    <w:rsid w:val="487C2509"/>
    <w:rsid w:val="487E5C77"/>
    <w:rsid w:val="48A04C7F"/>
    <w:rsid w:val="48AB600D"/>
    <w:rsid w:val="48BE3194"/>
    <w:rsid w:val="48D33076"/>
    <w:rsid w:val="48E51377"/>
    <w:rsid w:val="48E9011F"/>
    <w:rsid w:val="49042EB0"/>
    <w:rsid w:val="49182F5B"/>
    <w:rsid w:val="49244CE0"/>
    <w:rsid w:val="49382013"/>
    <w:rsid w:val="493A5A98"/>
    <w:rsid w:val="49590A49"/>
    <w:rsid w:val="49616839"/>
    <w:rsid w:val="497C1D1C"/>
    <w:rsid w:val="49831F08"/>
    <w:rsid w:val="499E4E6A"/>
    <w:rsid w:val="49B52D72"/>
    <w:rsid w:val="49E11940"/>
    <w:rsid w:val="4A045247"/>
    <w:rsid w:val="4A052754"/>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A5942"/>
    <w:rsid w:val="4C606FBF"/>
    <w:rsid w:val="4C667F32"/>
    <w:rsid w:val="4C6B0BD5"/>
    <w:rsid w:val="4C784838"/>
    <w:rsid w:val="4C84568C"/>
    <w:rsid w:val="4C911064"/>
    <w:rsid w:val="4CB82F69"/>
    <w:rsid w:val="4CC1407D"/>
    <w:rsid w:val="4CC17D94"/>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00CA9"/>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384625"/>
    <w:rsid w:val="53757666"/>
    <w:rsid w:val="53825209"/>
    <w:rsid w:val="538C2035"/>
    <w:rsid w:val="538C7108"/>
    <w:rsid w:val="53915F03"/>
    <w:rsid w:val="53942FA7"/>
    <w:rsid w:val="53B96635"/>
    <w:rsid w:val="53BE786F"/>
    <w:rsid w:val="53BF26EC"/>
    <w:rsid w:val="53CC42CB"/>
    <w:rsid w:val="53D81733"/>
    <w:rsid w:val="53DB0D8F"/>
    <w:rsid w:val="53E2493B"/>
    <w:rsid w:val="53EF5526"/>
    <w:rsid w:val="540E7262"/>
    <w:rsid w:val="541240F2"/>
    <w:rsid w:val="54154ACC"/>
    <w:rsid w:val="542F6A1E"/>
    <w:rsid w:val="54676039"/>
    <w:rsid w:val="54735FAB"/>
    <w:rsid w:val="54757578"/>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4552E5"/>
    <w:rsid w:val="57573734"/>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D6BBC"/>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6E5449"/>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0BD9"/>
    <w:rsid w:val="5F8A5B63"/>
    <w:rsid w:val="5F9C7E15"/>
    <w:rsid w:val="5FA24091"/>
    <w:rsid w:val="5FA26BB9"/>
    <w:rsid w:val="5FDA00E0"/>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5A775B"/>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7C41E0"/>
    <w:rsid w:val="65820642"/>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0650B2"/>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80822"/>
    <w:rsid w:val="694C5627"/>
    <w:rsid w:val="69620097"/>
    <w:rsid w:val="69846F5C"/>
    <w:rsid w:val="69932B38"/>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2B1C8D"/>
    <w:rsid w:val="6C3918F6"/>
    <w:rsid w:val="6C5D7E47"/>
    <w:rsid w:val="6C6039AB"/>
    <w:rsid w:val="6C6D7EF4"/>
    <w:rsid w:val="6C78244D"/>
    <w:rsid w:val="6C8F682E"/>
    <w:rsid w:val="6C916E7A"/>
    <w:rsid w:val="6CC02365"/>
    <w:rsid w:val="6CC15CC3"/>
    <w:rsid w:val="6CD04B4A"/>
    <w:rsid w:val="6CD179DA"/>
    <w:rsid w:val="6CE24404"/>
    <w:rsid w:val="6CE80688"/>
    <w:rsid w:val="6CFA2AEC"/>
    <w:rsid w:val="6D18789A"/>
    <w:rsid w:val="6D27561F"/>
    <w:rsid w:val="6D2A5F15"/>
    <w:rsid w:val="6D2B77DD"/>
    <w:rsid w:val="6D4E13AA"/>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EED35F1"/>
    <w:rsid w:val="6F0452DC"/>
    <w:rsid w:val="6F0D2D39"/>
    <w:rsid w:val="6F120BBA"/>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1A5E56"/>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824AE1"/>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B67A6"/>
    <w:rsid w:val="74404642"/>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104AC0"/>
    <w:rsid w:val="7733466E"/>
    <w:rsid w:val="773973CB"/>
    <w:rsid w:val="77462083"/>
    <w:rsid w:val="77481705"/>
    <w:rsid w:val="776440DA"/>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F22EF3"/>
    <w:rsid w:val="78FC38E3"/>
    <w:rsid w:val="78FE6E57"/>
    <w:rsid w:val="790C1C25"/>
    <w:rsid w:val="791D092D"/>
    <w:rsid w:val="79207F11"/>
    <w:rsid w:val="79236FFA"/>
    <w:rsid w:val="792C247A"/>
    <w:rsid w:val="792C7B78"/>
    <w:rsid w:val="79322155"/>
    <w:rsid w:val="793F0FFD"/>
    <w:rsid w:val="795C4945"/>
    <w:rsid w:val="7978297F"/>
    <w:rsid w:val="797F4B00"/>
    <w:rsid w:val="798B055F"/>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BF63A4"/>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2022-11-04T07:00:28Z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